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64" w:type="dxa"/>
        <w:jc w:val="start"/>
        <w:tblInd w:w="-2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32"/>
        <w:gridCol w:w="3968"/>
        <w:gridCol w:w="1703"/>
        <w:gridCol w:w="1276"/>
        <w:gridCol w:w="1275"/>
        <w:gridCol w:w="10"/>
      </w:tblGrid>
      <w:tr>
        <w:trPr>
          <w:trHeight w:val="595" w:hRule="atLeast"/>
        </w:trPr>
        <w:tc>
          <w:tcPr>
            <w:tcW w:w="9654" w:type="dxa"/>
            <w:gridSpan w:val="5"/>
            <w:tcBorders>
              <w:bottom w:val="single" w:sz="4" w:space="0" w:color="000000"/>
            </w:tcBorders>
            <w:shd w:fill="FFFFFF" w:val="clear"/>
            <w:vAlign w:val="center"/>
          </w:tcPr>
      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leftMargin">
                        <wp:align>left</wp:align>
                      </wp:positionH>
                      <wp:positionV relativeFrom="page">
                        <wp:posOffset>0</wp:posOffset>
                      </wp:positionV>
                      <wp:extent cx="7765200" cy="219600"/>
                      <wp:effectExtent l="0" t="0" r="0" b="9525"/>
                      <wp:wrapNone/>
                      <wp:docPr id="100010111" name="ODT_ATTR_LBL_SHA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520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!--  bidi  -->
                                    <w:spacing w:line="240" w:lineRule="auto"/>
                                    <w:contextualSpacing/>
                                    <w:jc w:val="left"/>
                                  </w:pPr>
                                  <w:r>
                                    <w:rPr>
                                      <w:noProof/>
                                      <w:position w:val="-6"/>
                                      <!-- rtl -->
                                    </w:rPr>
                                    <w:drawing>
                                      <wp:inline distT="0" distB="0" distL="0" distR="0">
                                        <wp:extent cx="316230" cy="179705"/>
                                        <wp:effectExtent l="0" t="0" r="0" b="0"/>
                                        <wp:docPr id="100010001" name="LOGO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010001" name="LOGO"/>
                                                <pic:cNvPicPr/>
                                              </pic:nvPicPr>
                                              <pic:blipFill>
                                                <a:blip r:embed="r_odt_logo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6230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Roboto" w:hAnsi="Roboto"/>
                                      <w:color w:val="0F2B46"/>
                                      <w:szCs w:val="18"/>
                                    </w:rPr>
                                    <w:t xml:space="preserve"> </w:t>
                                  </w:r>
                                  <w:hyperlink r:id="r_odt_hyperlink" w:history="1" w:tooltip="Doc Translator - www.onlinedoctranslator.com">
                                    <w:r>
                                      <w:rPr>
                                        <w:rFonts w:ascii="Roboto" w:hAnsi="Roboto"/>
                                        <w:color w:val="0F2B46"/>
                                        <w:sz w:val="18"/>
                                        <w:szCs w:val="18"/>
                                        <!-- rtl -->
                                      </w:rPr>
                                      <w:t xml:space="preserve">Translated from Russian to Belarusian - </w:t>
                                    </w:r>
                                    <w:r>
                                      <w:rPr>
                                        <w:rFonts w:ascii="Roboto" w:hAnsi="Roboto"/>
                                        <w:color w:val="0F2B46"/>
                                        <w:sz w:val="18"/>
                                        <w:szCs w:val="18"/>
                                        <w:u w:val="single"/>
                                      </w:rPr>
                                      <w:t>www.onlinedoctranslator.com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      <v:textbox inset=",0,,0">
                        <w:txbxContent>
                          <w:p>
                            <w:pPr>
                              <w:bidi/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Belarusian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Дадатак 1</w:t>
            </w:r>
          </w:p>
          <w:p>
            <w:pPr>
              <w:pStyle w:val="Normal"/>
              <w:ind w:start="4680" w:hanging="0"/>
              <w:rPr/>
            </w:pPr>
            <w:r>
              <w:rPr>
                <w:sz w:val="22"/>
                <w:szCs w:val="22"/>
              </w:rPr>
              <w:t xml:space="preserve">ЗАЦВЕРДЖАНА</w:t>
            </w:r>
          </w:p>
          <w:p>
            <w:pPr>
              <w:pStyle w:val="Normal"/>
              <w:ind w:start="4680" w:hanging="0"/>
              <w:rPr/>
            </w:pPr>
            <w:r>
              <w:rPr>
                <w:sz w:val="22"/>
                <w:szCs w:val="22"/>
              </w:rPr>
              <w:t xml:space="preserve">Загад Брэсцкі занальны ЦГіЭ</w:t>
            </w:r>
          </w:p>
          <w:p>
            <w:pPr>
              <w:pStyle w:val="Normal"/>
              <w:ind w:start="4680" w:hanging="0"/>
              <w:rPr/>
            </w:pPr>
            <w:r>
              <w:rPr>
                <w:sz w:val="22"/>
                <w:szCs w:val="22"/>
              </w:rPr>
              <w:t xml:space="preserve">06 чэрвеня 2024 № 144</w:t>
            </w:r>
          </w:p>
          <w:p>
            <w:pPr>
              <w:pStyle w:val="Normal"/>
              <w:ind w:start="46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start="46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ПРЭЙСКУРАНТ ЦЭН (ТАРЫФАЎ) № 1 з 07 чэрвеня 2024 года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на платныя санітарна-эпідэміялагічныя паслугі,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аказваемыя дзяржаўнай установай</w:t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 xml:space="preserve">"Брэсцкі занальны цэнтр гігіены і эпідэміялогіі"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>
          <w:trHeight w:val="393" w:hRule="atLeast"/>
        </w:trPr>
        <w:tc>
          <w:tcPr>
            <w:tcW w:w="14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Найменне платнай санітарна-эпідэміялагічнай паслугі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Адзінка вымярэння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 (ТАРЫФ)</w:t>
            </w:r>
          </w:p>
        </w:tc>
      </w:tr>
      <w:tr>
        <w:trPr>
          <w:trHeight w:val="696" w:hRule="atLeast"/>
        </w:trPr>
        <w:tc>
          <w:tcPr>
            <w:tcW w:w="14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ПДВ, руб.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улікам ПДВ, руб.</w:t>
            </w:r>
          </w:p>
        </w:tc>
      </w:tr>
      <w:tr>
        <w:trPr>
          <w:trHeight w:val="374" w:hRule="atLeast"/>
        </w:trPr>
        <w:tc>
          <w:tcPr>
            <w:tcW w:w="14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374" w:hRule="atLeast"/>
        </w:trPr>
        <w:tc>
          <w:tcPr>
            <w:tcW w:w="14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8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Санітарна-гігіенічныя паслугі:</w:t>
            </w:r>
          </w:p>
        </w:tc>
        <w:tc>
          <w:tcPr>
            <w:tcW w:w="1703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14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96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падрыхтоўчыя работы для ажыццяўлення санітарна-гігіенічных паслуг</w:t>
            </w:r>
          </w:p>
        </w:tc>
        <w:tc>
          <w:tcPr>
            <w:tcW w:w="1703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  <w:tc>
          <w:tcPr>
            <w:tcW w:w="1285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11,08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распрацоўка і афармленне праграмы лабараторных даследаванняў, выпрабаванняў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праграма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25,21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арганізацыя работ па правядзенні лабараторных выпрабаванняў, вымярэнняў, афармленні выніковага дакумента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выніковы дакумент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24,82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работ па адборы проб (узораў)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(узор)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кансультацый урачамі-спецыялістамі і іншымі спецыялістамі з вышэйшай адукацыяй па пытаннях забеспячэння санітарна-эпідэміялагічнага дабрабыту насельніцтва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кансультацый урачамі спецыялістамі і іншымі спецыялістамі з вышэйшай адукацыяй па пытаннях фарміравання здаровага ладу жыцця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24,49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аказанне кансультатыўна-метадычнай дапамогі: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вызначэнні спісаў прафесій (пасад) працуючых, якія падлягаюць перыядычным (на працягу працоўнай дзейнасці) медыцынскім аглядам (1 прафесія)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38,58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46,30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 правядзенні комплекснай гігіенічнай ацэнкі ўмоў працы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1.12.3.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 пытаннях размяшчэння, праектавання аб'ектаў у частцы забеспячэння санітарна-эпідэміялагічнага дабрабыту насельніцтва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13,89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1.12.7.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вызначэнні адпаведнасці патрабаванням заканадаўства ў галіне санітарна-эпідэміялагічнага дабрабыту насельніцтва работ і паслуг, да якіх устаноўлены санітарна-эпідэміялагічныя патрабаванні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13,89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1.12.8.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прадастаўленні інфармацыі па актуалізацыі нарматыўна-метадычнай і іншай дакументацыі ў галіне забеспячэння санітарна-эпідэміялагічнага дабрабыту насельніцтва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кансультацыя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гігіенічнае навучанне работнікаў арганізацый, індывідуальных прадпрымальнікаў і іх работнікаў, неабходнасць якога вызначаецца дзейным заканадаўствам: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арганізацыя і правядзенне заняткаў (1 тэматыка)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занятак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10,55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ацэнкі ведаў (для аднаго слухача)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семінараў, трэнінгаў, адпрацоўкі практычных навыкаў па пытаннях забеспячэння санітарна-эпідэміялагічнага дабрабыту насельніцтва (па адной заяве)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 (трэнінг, занятак)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15,13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санітарна-эпідэміялагічнага аўдыту і выдача рэкамендацый па паляпшэнні дзейнасці арганізацый і фізічных асоб, у тым ліку індывідуальных прадпрымальнікаў, і выкананні патрабаванняў заканадаўства ў галіне санітарна-эпідэміялагічнага дабрабыту насельніцтва (па адной заяве)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аўдыт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ацэнкі рызыкі здароўю насельніцтва ўплыву фактараў асяроддзя пражывання чалавека: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 рызыкі здароўю насельніцтва, абумоўленага забруджваннем атмасфернага паветра (на адно рэчыва)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283,93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 рызыкі здароўю насельніцтва ад уздзеяння шуму ва ўмовах населеных месцаў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280,71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1.16.3.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 рызыкі для здароўя насельніцтва ад уздзеяння электрамагнітных палёў, якія ствараюцца базавымі станцыямі сотавай рухомай электрасувязі і шырокапалоснага бесправаднога доступу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280,71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санітарна-эпідэміялагічнае абследаванне (адзнака) аб'ектаў: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гандлёвых месцаў на рынках, аб'ектаў дробнарознічнай сеткі (кіёскі, латкі) з лікам працуючых да 3-х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37,16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44,59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(адзнака) аўтатранспарту, занятага перавозкай прадуктаў харчавання, крыніц іянізавальнага выпраменьвання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34,85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41,82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1.17.3.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да 10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51,12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61,34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1.17.4.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11-50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69,72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1.17.5.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51-100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83,66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100,39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1.17.6.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101-300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97,61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117,13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1.17.7.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301-500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111,54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1.17.8.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501-1000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125,49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150,59</w:t>
            </w:r>
          </w:p>
        </w:tc>
      </w:tr>
      <w:tr>
        <w:trPr>
          <w:trHeight w:val="38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1.17.9.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 цэхаў, прадпрыемстваў і іншых аб'ектаў з колькасцю працуючых звыш 1000 чалавек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абследаванне (ацэнка)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139,47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167,36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вывучэнне і ацэнка магчымасці размяшчэння аб'екта будаўніцтва на перадпраектнай стадыі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82,79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99,35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гігіенічная ацэнка ўмоў працы: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1.21.1.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правядзенне комплекснай гігіенічнай ацэнкі вынікаў стану ўмоў працы па выкананых лабараторных даследаваннях і вымярэннях фактараў вытворчага асяроддзя і псіхафізіялагічных асаблівасцей працоўнага працэсу (1 прафесія без лабараторных даследаванняў і ацэнкі ўмоў працы па цяжкасці і напружанасці працоўнага працэсу)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53,58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64,30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1.21.2.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 псіхафізіялагічных фактараў вытворчага асяроддзя: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1.21.2.1.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цяжару працоўнага працэсу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90,12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1.21.2.2.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напружанасці працоўнага працэсу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ацэнка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90,12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Вымярэнні (даследаванні) фізічных фактараў навакольнага і вытворчага асяроддзя: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натуральнай або штучнай асветленасці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тэмпературы або адноснай вільготнасці паветра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хуткасці руху паветра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вымярэнне ўзроўню гуку, узроўняў гукавога ціску ў актаўных (троцьактаўных) палосах частот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44,61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53,53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эквівалентнага і максімальнага ўзроўняў гуку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60,12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эквівалентнага агульнага ўзроўню гуку ў дБLin, эквівалентных узроўняў гукавога ціску ў актаўных палосах частот нясталага інфрагуку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48,01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агульнага ўзроўню гуку ў дБLin, узроўняў гукавога ціску ў актаўных палосах частот пастаяннага інфрагуку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48,01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афармленне пратакола даследаванняў (вымярэнняў)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Радыёлагічныя даследаванні і вымярэнні: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дазіметрычныя даследаванні: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вымярэнне магутнасці дозы гама-выпраменьвання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3,37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афармленне вынікаў: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5.6.1.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афармленне першаснай справаздачы (пратакола) выпрабаванняў, даследаванняў, вымярэнняў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>
        <w:trPr>
          <w:trHeight w:val="564" w:hRule="atLeast"/>
        </w:trPr>
        <w:tc>
          <w:tcPr>
            <w:tcW w:w="14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5.6.2.</w:t>
            </w:r>
          </w:p>
        </w:tc>
        <w:tc>
          <w:tcPr>
            <w:tcW w:w="3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афармленне пратакола выпрабаванняў, даследаванняў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даследаванне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7,87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9,44</w:t>
            </w:r>
          </w:p>
        </w:tc>
      </w:tr>
    </w:tbl>
    <w:p>
      <w:pPr>
        <w:pStyle w:val="Normal"/>
        <w:ind w:start="-900" w:firstLine="900"/>
        <w:rPr>
          <w:color w:val="FF0000"/>
        </w:rPr>
      </w:pPr>
      <w:r>
        <w:rPr>
          <w:color w:val="FF0000"/>
        </w:rPr>
      </w:r>
    </w:p>
    <w:p>
      <w:pPr>
        <w:pStyle w:val="Normal"/>
        <w:ind w:start="-900" w:firstLine="900"/>
        <w:rPr>
          <w:color w:val="FF0000"/>
        </w:rPr>
      </w:pPr>
      <w:r>
        <w:rPr>
          <w:color w:val="FF0000"/>
        </w:rPr>
      </w:r>
    </w:p>
    <w:p>
      <w:pPr>
        <w:pStyle w:val="Normal"/>
        <w:ind w:start="-900" w:firstLine="900"/>
        <w:rPr/>
      </w:pPr>
      <w:r>
        <w:rPr/>
        <w:t>Галоўны бухгалтар Д. Н. Труцык</w:t>
      </w:r>
    </w:p>
    <w:p>
      <w:pPr>
        <w:pStyle w:val="Normal"/>
        <w:ind w:start="-900" w:firstLine="900"/>
        <w:rPr/>
      </w:pPr>
      <w:r>
        <w:rPr/>
      </w:r>
    </w:p>
    <w:p>
      <w:pPr>
        <w:pStyle w:val="Normal"/>
        <w:ind w:start="-900" w:firstLine="900"/>
        <w:rPr/>
      </w:pPr>
      <w:r>
        <w:rPr/>
      </w:r>
    </w:p>
    <w:p>
      <w:pPr>
        <w:pStyle w:val="Normal"/>
        <w:ind w:start="-900" w:firstLine="900"/>
        <w:rPr/>
      </w:pPr>
      <w:r>
        <w:rPr/>
        <w:t>Галоўны эканаміст І. С. Аляхновіч</w:t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2018-12-26T12:02:00Z</dcterms:created>
  <dc:creator>27-27</dc:creator>
  <dc:description/>
  <cp:keywords> </cp:keywords>
  <dc:language>en-US</dc:language>
  <cp:lastModifiedBy>user</cp:lastModifiedBy>
  <cp:lastPrinted>2020-12-28T10:42:00Z</cp:lastPrinted>
  <dcterms:modified xsi:type="dcterms:W3CDTF">2024-06-06T05:53:00Z</dcterms:modified>
  <cp:revision>203</cp:revision>
  <dc:subject/>
  <dc:title>УТВЕРЖДАЮ</dc:title>
</cp:coreProperties>
</file>